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FD6531" w14:paraId="4F9450A3" w14:textId="10750DA5">
            <w:r w:rsidRPr="00FD6531">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093CA9" w:rsidP="00D448D0" w:rsidRDefault="001507AC" w14:paraId="313A697B" w14:textId="629FCA72">
            <w:r w:rsidRPr="001507AC">
              <w:t>CFS EC 007 of 2021 integrated in CFS EC 029 of 2014</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377D04" w14:paraId="1523C232" w14:textId="34A37313">
            <w:hyperlink w:history="1" r:id="rId17">
              <w:r>
                <w:rPr>
                  <w:rStyle w:val="Hipervnculo"/>
                </w:rPr>
                <w:t>web-archived</w:t>
              </w:r>
            </w:hyperlink>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C6376A" w14:paraId="4E49657F" w14:textId="7D06234B">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7777777"/>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1507AC" w14:paraId="0A5E7122" w14:textId="05E1175B">
            <w:r>
              <w:t>X</w:t>
            </w:r>
          </w:p>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693F17" w14:paraId="18257824" w14:textId="16470A3F">
            <w:r w:rsidRPr="00693F17">
              <w:t xml:space="preserve">The </w:t>
            </w:r>
            <w:r>
              <w:t>policy tool</w:t>
            </w:r>
            <w:r w:rsidRPr="00693F17">
              <w:t xml:space="preserve"> instructs insurance companies, capitalization companies, and pension and severance fund administrators to integrate environmental, social, governance (ESG), and climate risks into their investment and risk management processes. The goal is to promote adequate portfolio diversification, balance matching, and comprehensive risk management, in line with Decree 1393 of 2020.</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693F17" w14:paraId="54354EEF" w14:textId="3E60DBB8">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693F17" w14:paraId="22A2FF1A" w14:textId="10556FCA">
            <w:pPr>
              <w:rPr>
                <w:color w:val="000000" w:themeColor="text1"/>
              </w:rPr>
            </w:pPr>
            <w:r>
              <w:rPr>
                <w:color w:val="000000" w:themeColor="text1"/>
              </w:rPr>
              <w:t>2021</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0E5498" w14:paraId="5AD2325B" w14:textId="51CC3E52">
            <w:pPr>
              <w:rPr>
                <w:color w:val="000000" w:themeColor="text1"/>
              </w:rPr>
            </w:pPr>
            <w:r w:rsidRPr="000E5498">
              <w:rPr>
                <w:color w:val="000000" w:themeColor="text1"/>
              </w:rPr>
              <w:t>2021 (full implementation by 2022</w:t>
            </w:r>
            <w:r>
              <w:rPr>
                <w:color w:val="000000" w:themeColor="text1"/>
              </w:rPr>
              <w:t>)</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5A3F3F" w14:paraId="1A1B9D26" w14:textId="190AF674">
            <w:pPr>
              <w:rPr>
                <w:color w:val="000000" w:themeColor="text1"/>
              </w:rPr>
            </w:pPr>
            <w:r w:rsidRPr="005A3F3F">
              <w:rPr>
                <w:color w:val="000000" w:themeColor="text1"/>
              </w:rPr>
              <w:t>Implementation plan by July 26, 2021; full adoption by April 25, 2022</w:t>
            </w: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5A3F3F" w14:paraId="7961F236" w14:textId="60034DA1">
            <w:r w:rsidRPr="005A3F3F">
              <w:t>Independent regulatory/supervisory body (Colombian Financial Superintendence)</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545AF6" w14:paraId="58D97C26" w14:textId="55DFCC6D">
            <w:r w:rsidRPr="00545AF6">
              <w:t>Colombian Financial Superintendenc</w:t>
            </w:r>
            <w:r>
              <w:t>e</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545AF6" w14:paraId="6DCCE4F4" w14:textId="05B24931">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lastRenderedPageBreak/>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545AF6" w14:paraId="54F7EBC8" w14:textId="23AE9D3E">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333C91" w14:paraId="2C2128DB" w14:textId="5FCE1470">
            <w:pPr>
              <w:keepNext/>
              <w:rPr>
                <w:color w:val="000000" w:themeColor="text1"/>
              </w:rPr>
            </w:pPr>
            <w:r w:rsidRPr="00333C91">
              <w:rPr>
                <w:color w:val="000000" w:themeColor="text1"/>
              </w:rPr>
              <w:t>Entities must submit implementation plans and report compliance to the Superintendence, which supervises and verifies adoption.</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0760C5DB"/>
        </w:tc>
        <w:tc>
          <w:tcPr>
            <w:tcW w:w="1447" w:type="dxa"/>
            <w:vAlign w:val="center"/>
          </w:tcPr>
          <w:p w:rsidR="00CF5268" w:rsidP="00DD3144" w:rsidRDefault="00CF5268" w14:paraId="13B916E8" w14:textId="77777777"/>
        </w:tc>
        <w:tc>
          <w:tcPr>
            <w:tcW w:w="1447" w:type="dxa"/>
            <w:vAlign w:val="center"/>
          </w:tcPr>
          <w:p w:rsidR="00CF5268" w:rsidP="00DD3144" w:rsidRDefault="006533BE" w14:paraId="16103FAE" w14:textId="2693270C">
            <w:r>
              <w:t>X</w:t>
            </w:r>
          </w:p>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6533BE" w14:paraId="2E680148" w14:textId="2DBEAF88">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4773AB" w14:paraId="4EA62294" w14:textId="2F85B832">
            <w:r>
              <w:t>X</w:t>
            </w:r>
          </w:p>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4773AB" w14:paraId="7BF3CEC6" w14:textId="37F82A9C">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266D92" w14:paraId="4A3DBF18" w14:textId="5BD2829E">
            <w:r>
              <w:t>X</w:t>
            </w:r>
          </w:p>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266D92" w14:paraId="5D69C390" w14:textId="35E9C2BD">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266D92" w14:paraId="6E3BF266" w14:textId="63E0903E">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00266D92" w14:paraId="78F26697" w14:textId="390A9495">
            <w:r>
              <w:t>X</w:t>
            </w:r>
          </w:p>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00266D92" w14:paraId="7A06765B" w14:textId="65F2EDD8">
            <w:r>
              <w:t>X</w:t>
            </w:r>
          </w:p>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00266D92" w14:paraId="5E930EB6" w14:textId="339B6FE1">
            <w:r>
              <w:t>X</w:t>
            </w:r>
          </w:p>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00266D92" w14:paraId="1A2F5FE9" w14:textId="6D1FE09B">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266D92" w14:paraId="3EF422E2" w14:textId="7AF87A4A">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28453B" w14:paraId="6227ED99" w14:textId="35F9634C">
            <w:r>
              <w:t>X</w:t>
            </w:r>
          </w:p>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28453B" w14:paraId="1A169030" w14:textId="3B633439">
            <w:r>
              <w:t>X</w:t>
            </w:r>
          </w:p>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28453B" w14:paraId="110A8798" w14:textId="67D751D6">
            <w:r>
              <w:t>X</w:t>
            </w:r>
          </w:p>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28453B" w14:paraId="41BABB9B" w14:textId="4A6B647F">
            <w:r>
              <w:t>X</w:t>
            </w:r>
          </w:p>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28453B" w14:paraId="1B6B3D04" w14:textId="14FB293E">
            <w:r>
              <w:t>X</w:t>
            </w:r>
          </w:p>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1145AF" w14:paraId="64B58069" w14:textId="1C8027F1">
            <w:r>
              <w:t>X</w:t>
            </w:r>
          </w:p>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FD653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27280F" w14:paraId="52C1CE50" w14:textId="023C1C24">
            <w:r>
              <w:t>X</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27280F" w14:paraId="63E64AA4" w14:textId="57102FF3">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27280F" w14:paraId="1D7AF7A5" w14:textId="230C50D4">
            <w:r>
              <w:t>X</w:t>
            </w:r>
          </w:p>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27280F" w14:paraId="32F5A553" w14:textId="2A858D70">
            <w:r>
              <w:t>X</w:t>
            </w:r>
          </w:p>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27280F" w14:paraId="1C9123DE" w14:textId="608FD2E8">
            <w:r>
              <w:t>X</w:t>
            </w:r>
          </w:p>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27280F" w14:paraId="02340B30" w14:textId="089B0A97">
            <w:r>
              <w:t>X</w:t>
            </w:r>
          </w:p>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360ABE6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B437CF" w14:paraId="6475235A" w14:textId="26F592BA">
            <w:r w:rsidRPr="00B437CF">
              <w:t>Sanctions are applied according to the general sanctioning regime of the Financial Superintendence, including fines, operational restrictions, penalties for managers, and, in severe cases, criminal penalties.</w:t>
            </w:r>
          </w:p>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38334A" w14:paraId="3F0CAF5D" w14:textId="60AFC65F">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38334A" w14:paraId="6D63DD00" w14:textId="525A13C9">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A47539" w14:paraId="7EE9A7FE" w14:textId="62BEE93C">
            <w:r>
              <w:t>X</w:t>
            </w:r>
          </w:p>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A47539" w14:paraId="7603D43B" w14:textId="51068806">
            <w:r>
              <w:t>X</w:t>
            </w:r>
          </w:p>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A47539" w14:paraId="61F239DB" w14:textId="029D373C">
            <w:r>
              <w:t>X</w:t>
            </w:r>
          </w:p>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234F4C" w14:paraId="3084FC08" w14:textId="56807181">
            <w:pPr>
              <w:rPr>
                <w:rFonts w:ascii="Calibri" w:hAnsi="Calibri" w:cs="Calibri"/>
              </w:rPr>
            </w:pPr>
            <w:r>
              <w:rPr>
                <w:rFonts w:ascii="Calibri" w:hAnsi="Calibri" w:cs="Calibri"/>
              </w:rPr>
              <w:t>X</w:t>
            </w: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234F4C" w14:paraId="35D60F2C" w14:textId="188F3C61">
            <w:pPr>
              <w:rPr>
                <w:rFonts w:ascii="Calibri" w:hAnsi="Calibri" w:cs="Calibri"/>
              </w:rPr>
            </w:pPr>
            <w:r>
              <w:rPr>
                <w:rFonts w:ascii="Calibri" w:hAnsi="Calibri" w:cs="Calibri"/>
              </w:rPr>
              <w:t>X</w:t>
            </w: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E4669E" w14:paraId="67C1DCBA" w14:textId="0DCBCE5B">
            <w:r>
              <w:t>X</w:t>
            </w:r>
          </w:p>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016887" w14:paraId="0FB585A8" w14:textId="55A1B1B3">
            <w:r>
              <w:t>X</w:t>
            </w:r>
          </w:p>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016887" w14:paraId="1BAE4A5F" w14:textId="372AF080">
            <w:r>
              <w:t>X</w:t>
            </w:r>
          </w:p>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016887" w14:paraId="43EB5690" w14:textId="05593B7D">
            <w:r>
              <w:t>X</w:t>
            </w:r>
          </w:p>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016887" w14:paraId="332AEA5A" w14:textId="4B4BEDD8">
            <w:r>
              <w:t>X</w:t>
            </w:r>
          </w:p>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D1689A" w14:paraId="1ED48B8C" w14:textId="1AABA5D8">
            <w:r>
              <w:t>X</w:t>
            </w:r>
          </w:p>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D1689A" w14:paraId="6EF5A633" w14:textId="460614A1">
            <w:r>
              <w:t>X</w:t>
            </w:r>
          </w:p>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D1689A" w14:paraId="16446B0A" w14:textId="72523110">
            <w:r>
              <w:t>X</w:t>
            </w:r>
          </w:p>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D1689A" w14:paraId="24165BE5" w14:textId="56312514">
            <w:r>
              <w:t>X</w:t>
            </w:r>
          </w:p>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D1689A" w14:paraId="4E1421EE" w14:textId="36684A41">
            <w:r>
              <w:t>X</w:t>
            </w:r>
          </w:p>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713B2A" w14:paraId="4489C22D" w14:textId="78085E20">
            <w:r>
              <w:t>X</w:t>
            </w:r>
          </w:p>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713B2A" w14:paraId="09E0BA38" w14:textId="740FDB1F">
            <w:r>
              <w:t>X</w:t>
            </w:r>
          </w:p>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713B2A" w14:paraId="501990A5" w14:textId="1F562AE0">
            <w:r>
              <w:t>X</w:t>
            </w:r>
          </w:p>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713B2A" w14:paraId="19CB5335" w14:textId="47B79B88">
            <w:r>
              <w:t>X</w:t>
            </w:r>
          </w:p>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631549" w14:paraId="72170832" w14:textId="5203B4FB">
            <w:r>
              <w:t>X</w:t>
            </w:r>
          </w:p>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631549" w14:paraId="67FCCEDA" w14:textId="7342DA45">
            <w:r>
              <w:t>X</w:t>
            </w:r>
          </w:p>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2B4321" w14:paraId="0216ACA0" w14:textId="1A51FF33">
            <w:r>
              <w:t>X</w:t>
            </w:r>
          </w:p>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2B4321" w14:paraId="59497AC2" w14:textId="56B80FFB">
            <w:r>
              <w:t>X</w:t>
            </w:r>
          </w:p>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2B4321" w14:paraId="10DE3AE1" w14:textId="6E4A02D2">
            <w:r>
              <w:t>X</w:t>
            </w:r>
          </w:p>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E74703" w14:paraId="398DAED1" w14:textId="774A6BB0">
            <w:r>
              <w:t>X</w:t>
            </w:r>
          </w:p>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E74703" w14:paraId="5A50D045" w14:textId="7D1227AF">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FD653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FD653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FD653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A6181C" w14:paraId="60C6C14A" w14:textId="22BE0517">
            <w:pPr>
              <w:rPr>
                <w:rFonts w:ascii="Calibri" w:hAnsi="Calibri" w:cs="Calibri"/>
              </w:rPr>
            </w:pPr>
            <w:r>
              <w:rPr>
                <w:rFonts w:ascii="Calibri" w:hAnsi="Calibri" w:cs="Calibri"/>
              </w:rPr>
              <w:t>X</w:t>
            </w: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5A1A60" w14:paraId="7E60504E" w14:textId="04EB8F3A">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5A1A60" w14:paraId="3BA0C0E8" w14:textId="5BE24603">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5A1A60" w14:paraId="7A479C51" w14:textId="12A4C5CC">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5A1A60" w14:paraId="04158786" w14:textId="5644DB61">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B450F1" w14:paraId="00B7C4FE" w14:textId="015E35B0">
            <w:pPr>
              <w:rPr>
                <w:rFonts w:ascii="Calibri" w:hAnsi="Calibri" w:cs="Calibri"/>
              </w:rPr>
            </w:pPr>
            <w:r>
              <w:rPr>
                <w:rFonts w:ascii="Calibri" w:hAnsi="Calibri" w:cs="Calibri"/>
              </w:rPr>
              <w:t>X</w:t>
            </w: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B450F1" w14:paraId="66471C49" w14:textId="163E564A">
            <w:pPr>
              <w:rPr>
                <w:rFonts w:ascii="Calibri" w:hAnsi="Calibri" w:cs="Calibri"/>
              </w:rPr>
            </w:pPr>
            <w:r>
              <w:rPr>
                <w:rFonts w:ascii="Calibri" w:hAnsi="Calibri" w:cs="Calibri"/>
              </w:rPr>
              <w:t>X</w:t>
            </w: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B450F1" w14:paraId="23B1AD2E" w14:textId="708114F2">
            <w:pPr>
              <w:rPr>
                <w:rFonts w:ascii="Calibri" w:hAnsi="Calibri" w:cs="Calibri"/>
              </w:rPr>
            </w:pPr>
            <w:r>
              <w:rPr>
                <w:rFonts w:ascii="Calibri" w:hAnsi="Calibri" w:cs="Calibri"/>
              </w:rPr>
              <w:t>X</w:t>
            </w: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B450F1" w14:paraId="3C7F283C" w14:textId="230D78DF">
            <w:pPr>
              <w:rPr>
                <w:rFonts w:ascii="Calibri" w:hAnsi="Calibri" w:cs="Calibri"/>
              </w:rPr>
            </w:pPr>
            <w:r>
              <w:rPr>
                <w:rFonts w:ascii="Calibri" w:hAnsi="Calibri" w:cs="Calibri"/>
              </w:rPr>
              <w:t>X</w:t>
            </w: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B450F1" w14:paraId="66597FF7" w14:textId="56E2C2ED">
            <w:pPr>
              <w:rPr>
                <w:rFonts w:ascii="Calibri" w:hAnsi="Calibri" w:cs="Calibri"/>
              </w:rPr>
            </w:pPr>
            <w:r>
              <w:rPr>
                <w:rFonts w:ascii="Calibri" w:hAnsi="Calibri" w:cs="Calibri"/>
              </w:rPr>
              <w:t>X</w:t>
            </w: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B450F1" w14:paraId="4DB32864" w14:textId="545CD59D">
            <w:pPr>
              <w:rPr>
                <w:rFonts w:ascii="Calibri" w:hAnsi="Calibri" w:cs="Calibri"/>
              </w:rPr>
            </w:pPr>
            <w:r>
              <w:rPr>
                <w:rFonts w:ascii="Calibri" w:hAnsi="Calibri" w:cs="Calibri"/>
              </w:rPr>
              <w:t>X</w:t>
            </w: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001468" w14:paraId="6BF4AF82" w14:textId="256A0B37">
            <w:pPr>
              <w:rPr>
                <w:rFonts w:ascii="Calibri" w:hAnsi="Calibri" w:cs="Calibri"/>
              </w:rPr>
            </w:pPr>
            <w:r w:rsidRPr="00001468">
              <w:rPr>
                <w:rFonts w:ascii="Calibri" w:hAnsi="Calibri" w:cs="Calibri"/>
              </w:rPr>
              <w:t>Sanctions are applied according to the regime of the Financial Superintendence, including fines, operational restrictions, penalties for managers, and, in severe cases, criminal penalties.</w:t>
            </w: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001468" w14:paraId="21829B53" w14:textId="703D0835">
            <w:pPr>
              <w:rPr>
                <w:rFonts w:ascii="Calibri" w:hAnsi="Calibri" w:cs="Calibri"/>
              </w:rPr>
            </w:pPr>
            <w:r>
              <w:rPr>
                <w:rFonts w:ascii="Calibri" w:hAnsi="Calibri" w:cs="Calibri"/>
              </w:rPr>
              <w:t>X</w:t>
            </w: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001468" w14:paraId="62ADDDD1" w14:textId="7070C12D">
            <w:pPr>
              <w:rPr>
                <w:rFonts w:ascii="Calibri" w:hAnsi="Calibri" w:cs="Calibri"/>
              </w:rPr>
            </w:pPr>
            <w:r>
              <w:rPr>
                <w:rFonts w:ascii="Calibri" w:hAnsi="Calibri" w:cs="Calibri"/>
              </w:rPr>
              <w:t>X</w:t>
            </w: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001468" w14:paraId="19ECDEDB" w14:textId="30AFD927">
            <w:pPr>
              <w:rPr>
                <w:rFonts w:ascii="Calibri" w:hAnsi="Calibri" w:cs="Calibri"/>
              </w:rPr>
            </w:pPr>
            <w:r>
              <w:rPr>
                <w:rFonts w:ascii="Calibri" w:hAnsi="Calibri" w:cs="Calibri"/>
              </w:rPr>
              <w:t>X</w:t>
            </w: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001468" w14:paraId="704C027B" w14:textId="652A861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DB54B9" w14:paraId="0AE0D8D1" w14:textId="7FB2D00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DB54B9" w14:paraId="08C74092" w14:textId="09E42FC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DB54B9" w14:paraId="0A35B604" w14:textId="1208DF6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DB54B9" w14:paraId="713DD0D8" w14:textId="796F0F3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B54B9" w14:paraId="6417835F" w14:textId="34A69B0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0150D2" w14:paraId="524BFEA7" w14:textId="4103D33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0150D2" w14:paraId="769FA956" w14:textId="5F2246D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3F33" w14:paraId="093659D4" w14:textId="515E5DB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8C3F33" w14:paraId="59599188" w14:textId="2C3E225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8C3F33" w14:paraId="1FF0C9D4" w14:textId="66B8AD9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8C3F33" w14:paraId="12FADFAD" w14:textId="55E92E7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EDAB2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E30B88">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63563F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BD6F96">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609787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510EC">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3040FB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510EC">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47F90F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510EC">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7510EC" w14:paraId="627BDA0A" w14:textId="38C942F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7510EC" w14:paraId="303FA712" w14:textId="1C1AC7F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379253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180075">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0397AC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180075">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CD10E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180075">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2B293C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180075">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180075" w14:paraId="2083747E" w14:textId="68103F0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921CD4" w14:paraId="28BD25CF" w14:textId="16E1518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75DDE2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FA0D3C">
              <w:rPr>
                <w:rFonts w:ascii="Calibri" w:hAnsi="Calibri" w:eastAsia="Times New Roman" w:cs="Calibri"/>
                <w:kern w:val="0"/>
                <w:lang w:val="en-SG" w:eastAsia="en-GB"/>
                <w14:ligatures w14:val="none"/>
              </w:rPr>
              <w:t>X</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A0D3C" w14:paraId="1041F458" w14:textId="5C3D692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4A05DE" w14:paraId="5F9C9C35" w14:textId="51BFE79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1F546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BD42D0">
              <w:rPr>
                <w:rFonts w:ascii="Calibri" w:hAnsi="Calibri" w:eastAsia="Times New Roman" w:cs="Calibri"/>
                <w:kern w:val="0"/>
                <w:lang w:eastAsia="en-GB"/>
                <w14:ligatures w14:val="none"/>
              </w:rPr>
              <w:t>X</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69B05C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BD42D0">
              <w:rPr>
                <w:rFonts w:ascii="Calibri" w:hAnsi="Calibri" w:eastAsia="Times New Roman" w:cs="Calibri"/>
                <w:kern w:val="0"/>
                <w:lang w:eastAsia="en-GB"/>
                <w14:ligatures w14:val="none"/>
              </w:rPr>
              <w:t>X</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D42D0" w14:paraId="636B75EC" w14:textId="2DDC748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577D29" w14:paraId="0055121B" w14:textId="76D8762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577D29" w14:paraId="66CFB58D" w14:textId="707C97C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D3906AB">
            <w:pPr>
              <w:rPr>
                <w:rFonts w:cstheme="minorHAnsi"/>
              </w:rPr>
            </w:pPr>
            <w:r w:rsidRPr="009C4D10">
              <w:rPr>
                <w:rFonts w:cstheme="minorHAnsi"/>
                <w:lang w:val="en-SG"/>
              </w:rPr>
              <w:t> </w:t>
            </w:r>
            <w:r w:rsidRPr="009C4D10">
              <w:rPr>
                <w:rFonts w:cstheme="minorHAnsi"/>
              </w:rPr>
              <w:t> </w:t>
            </w:r>
            <w:r w:rsidR="00407AF5">
              <w:rPr>
                <w:rFonts w:cstheme="minorHAnsi"/>
              </w:rPr>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6157B7F4">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C1F5B" w:rsidP="00874E39" w:rsidRDefault="002C1F5B" w14:paraId="6AD6B31B" w14:textId="77777777">
      <w:r>
        <w:separator/>
      </w:r>
    </w:p>
  </w:endnote>
  <w:endnote w:type="continuationSeparator" w:id="0">
    <w:p w:rsidR="002C1F5B" w:rsidP="00874E39" w:rsidRDefault="002C1F5B" w14:paraId="65F7777E" w14:textId="77777777">
      <w:r>
        <w:continuationSeparator/>
      </w:r>
    </w:p>
  </w:endnote>
  <w:endnote w:type="continuationNotice" w:id="1">
    <w:p w:rsidR="002C1F5B" w:rsidRDefault="002C1F5B" w14:paraId="39C2321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C1F5B" w:rsidP="00874E39" w:rsidRDefault="002C1F5B" w14:paraId="1EC1D214" w14:textId="77777777">
      <w:r>
        <w:separator/>
      </w:r>
    </w:p>
  </w:footnote>
  <w:footnote w:type="continuationSeparator" w:id="0">
    <w:p w:rsidR="002C1F5B" w:rsidP="00874E39" w:rsidRDefault="002C1F5B" w14:paraId="30BA541C" w14:textId="77777777">
      <w:r>
        <w:continuationSeparator/>
      </w:r>
    </w:p>
  </w:footnote>
  <w:footnote w:type="continuationNotice" w:id="1">
    <w:p w:rsidR="002C1F5B" w:rsidRDefault="002C1F5B" w14:paraId="756ADF5D"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468"/>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0D2"/>
    <w:rsid w:val="00016887"/>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498"/>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5AF"/>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448"/>
    <w:rsid w:val="00172B85"/>
    <w:rsid w:val="00173D7C"/>
    <w:rsid w:val="0017449C"/>
    <w:rsid w:val="001749C3"/>
    <w:rsid w:val="00176011"/>
    <w:rsid w:val="00180075"/>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F4C"/>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D92"/>
    <w:rsid w:val="002679A5"/>
    <w:rsid w:val="0027067C"/>
    <w:rsid w:val="00270A4D"/>
    <w:rsid w:val="0027280F"/>
    <w:rsid w:val="00272D9A"/>
    <w:rsid w:val="002737EF"/>
    <w:rsid w:val="00274335"/>
    <w:rsid w:val="00274864"/>
    <w:rsid w:val="00274B22"/>
    <w:rsid w:val="00277FC5"/>
    <w:rsid w:val="0028453B"/>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321"/>
    <w:rsid w:val="002B4903"/>
    <w:rsid w:val="002B6C7E"/>
    <w:rsid w:val="002B708A"/>
    <w:rsid w:val="002B7D5C"/>
    <w:rsid w:val="002C060D"/>
    <w:rsid w:val="002C0DCE"/>
    <w:rsid w:val="002C14C2"/>
    <w:rsid w:val="002C169C"/>
    <w:rsid w:val="002C1F5B"/>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C91"/>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4D4"/>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D04"/>
    <w:rsid w:val="0037E466"/>
    <w:rsid w:val="003811C3"/>
    <w:rsid w:val="003817C1"/>
    <w:rsid w:val="00381CDC"/>
    <w:rsid w:val="00381E8A"/>
    <w:rsid w:val="00381FD3"/>
    <w:rsid w:val="0038334A"/>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AF5"/>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3AB"/>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DE"/>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AF6"/>
    <w:rsid w:val="0054662E"/>
    <w:rsid w:val="0054680A"/>
    <w:rsid w:val="00547B98"/>
    <w:rsid w:val="0055251F"/>
    <w:rsid w:val="00553BB6"/>
    <w:rsid w:val="00554079"/>
    <w:rsid w:val="00554F39"/>
    <w:rsid w:val="0055593D"/>
    <w:rsid w:val="005576AE"/>
    <w:rsid w:val="00561537"/>
    <w:rsid w:val="00563224"/>
    <w:rsid w:val="00563432"/>
    <w:rsid w:val="00566FDB"/>
    <w:rsid w:val="005675D6"/>
    <w:rsid w:val="00570082"/>
    <w:rsid w:val="00571BA3"/>
    <w:rsid w:val="005722D9"/>
    <w:rsid w:val="005733AF"/>
    <w:rsid w:val="00574C66"/>
    <w:rsid w:val="005758ED"/>
    <w:rsid w:val="00575D67"/>
    <w:rsid w:val="00576C68"/>
    <w:rsid w:val="00576ED8"/>
    <w:rsid w:val="005774C5"/>
    <w:rsid w:val="00577D29"/>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A60"/>
    <w:rsid w:val="005A2023"/>
    <w:rsid w:val="005A270C"/>
    <w:rsid w:val="005A2821"/>
    <w:rsid w:val="005A2900"/>
    <w:rsid w:val="005A383B"/>
    <w:rsid w:val="005A3F3F"/>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549"/>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3BE"/>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F17"/>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B2A"/>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0EC"/>
    <w:rsid w:val="00752CD3"/>
    <w:rsid w:val="00753427"/>
    <w:rsid w:val="0075345B"/>
    <w:rsid w:val="0075419A"/>
    <w:rsid w:val="00754C24"/>
    <w:rsid w:val="00754DE8"/>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F3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CD4"/>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539"/>
    <w:rsid w:val="00A47C6E"/>
    <w:rsid w:val="00A501D9"/>
    <w:rsid w:val="00A503F1"/>
    <w:rsid w:val="00A53328"/>
    <w:rsid w:val="00A5358D"/>
    <w:rsid w:val="00A53874"/>
    <w:rsid w:val="00A55B96"/>
    <w:rsid w:val="00A56BE5"/>
    <w:rsid w:val="00A56DE0"/>
    <w:rsid w:val="00A57E93"/>
    <w:rsid w:val="00A60DA8"/>
    <w:rsid w:val="00A6137C"/>
    <w:rsid w:val="00A615A6"/>
    <w:rsid w:val="00A6181C"/>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7CF"/>
    <w:rsid w:val="00B43E73"/>
    <w:rsid w:val="00B4464A"/>
    <w:rsid w:val="00B44FFE"/>
    <w:rsid w:val="00B450F1"/>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42D0"/>
    <w:rsid w:val="00BD6932"/>
    <w:rsid w:val="00BD6D24"/>
    <w:rsid w:val="00BD6F96"/>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89A"/>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4B9"/>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B88"/>
    <w:rsid w:val="00E321EB"/>
    <w:rsid w:val="00E32892"/>
    <w:rsid w:val="00E330BA"/>
    <w:rsid w:val="00E34DED"/>
    <w:rsid w:val="00E368E8"/>
    <w:rsid w:val="00E36D6E"/>
    <w:rsid w:val="00E37C8B"/>
    <w:rsid w:val="00E37ECE"/>
    <w:rsid w:val="00E405B9"/>
    <w:rsid w:val="00E41941"/>
    <w:rsid w:val="00E425D4"/>
    <w:rsid w:val="00E43229"/>
    <w:rsid w:val="00E454C9"/>
    <w:rsid w:val="00E4669E"/>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703"/>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0D3C"/>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531"/>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perfinanciera.gov.co/publicaciones/10104699/industrias-supervisadasfinanzas-sosteniblesdocumentos-tecnicos-y-normativa-10104699/"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6DD75EA-F1D1-4A01-A2BD-BA7B46FE9853}"/>
</file>

<file path=customXml/itemProps2.xml><?xml version="1.0" encoding="utf-8"?>
<ds:datastoreItem xmlns:ds="http://schemas.openxmlformats.org/officeDocument/2006/customXml" ds:itemID="{D478DCDF-6807-4B8E-8CB3-4779F128DD4E}"/>
</file>

<file path=customXml/itemProps3.xml><?xml version="1.0" encoding="utf-8"?>
<ds:datastoreItem xmlns:ds="http://schemas.openxmlformats.org/officeDocument/2006/customXml" ds:itemID="{2D57BBC7-D8D1-411A-BF79-A0703C40DC2B}"/>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